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45A" w:rsidRDefault="00CD6BAC" w:rsidP="00D51E42">
      <w:pPr>
        <w:jc w:val="center"/>
        <w:rPr>
          <w:b/>
          <w:sz w:val="28"/>
          <w:szCs w:val="28"/>
          <w:u w:val="single"/>
        </w:rPr>
      </w:pPr>
      <w:r>
        <w:rPr>
          <w:b/>
          <w:sz w:val="28"/>
          <w:szCs w:val="28"/>
          <w:u w:val="single"/>
        </w:rPr>
        <w:t>Metóda</w:t>
      </w:r>
      <w:r w:rsidR="00801FD0">
        <w:rPr>
          <w:b/>
          <w:sz w:val="28"/>
          <w:szCs w:val="28"/>
          <w:u w:val="single"/>
        </w:rPr>
        <w:t xml:space="preserve"> </w:t>
      </w:r>
      <w:r w:rsidR="00AB4192">
        <w:rPr>
          <w:b/>
          <w:sz w:val="28"/>
          <w:szCs w:val="28"/>
          <w:u w:val="single"/>
        </w:rPr>
        <w:t>zostavenia rebríčka pre súťaže BZST</w:t>
      </w:r>
      <w:r>
        <w:rPr>
          <w:b/>
          <w:sz w:val="28"/>
          <w:szCs w:val="28"/>
          <w:u w:val="single"/>
        </w:rPr>
        <w:t xml:space="preserve"> v r. 2015</w:t>
      </w:r>
      <w:r w:rsidR="007D045A">
        <w:rPr>
          <w:b/>
          <w:sz w:val="28"/>
          <w:szCs w:val="28"/>
          <w:u w:val="single"/>
        </w:rPr>
        <w:t xml:space="preserve">: </w:t>
      </w:r>
    </w:p>
    <w:p w:rsidR="007440D5" w:rsidRDefault="007440D5" w:rsidP="007440D5"/>
    <w:p w:rsidR="00C91A44" w:rsidRDefault="00C91A44" w:rsidP="007440D5"/>
    <w:p w:rsidR="00CD6BAC" w:rsidRDefault="00CD6BAC" w:rsidP="00C91A44">
      <w:pPr>
        <w:ind w:firstLine="360"/>
      </w:pPr>
      <w:r>
        <w:t>Základnou zmenou oproti minulosti</w:t>
      </w:r>
      <w:r w:rsidR="007760AA">
        <w:t xml:space="preserve"> je</w:t>
      </w:r>
      <w:r>
        <w:t xml:space="preserve">, že hráčom sa hodnotia do </w:t>
      </w:r>
      <w:proofErr w:type="spellStart"/>
      <w:r>
        <w:t>rebríčkového</w:t>
      </w:r>
      <w:proofErr w:type="spellEnd"/>
      <w:r>
        <w:t xml:space="preserve"> poradia všetky odohraté zápasy v jednotlivých ligách. Z hľadiska celkového počtu odohratých zápasov (PZ) je dôležité delenie </w:t>
      </w:r>
      <w:r w:rsidR="00B806B5">
        <w:t xml:space="preserve">hráčov </w:t>
      </w:r>
      <w:r>
        <w:t>na tri skupiny:</w:t>
      </w:r>
      <w:bookmarkStart w:id="0" w:name="_GoBack"/>
      <w:bookmarkEnd w:id="0"/>
    </w:p>
    <w:p w:rsidR="007C3D37" w:rsidRDefault="007C3D37" w:rsidP="007C3D37">
      <w:pPr>
        <w:numPr>
          <w:ilvl w:val="0"/>
          <w:numId w:val="6"/>
        </w:numPr>
      </w:pPr>
      <w:r>
        <w:t>PZ ≥ 44</w:t>
      </w:r>
    </w:p>
    <w:p w:rsidR="007C3D37" w:rsidRDefault="007C3D37" w:rsidP="007C3D37">
      <w:pPr>
        <w:numPr>
          <w:ilvl w:val="0"/>
          <w:numId w:val="6"/>
        </w:numPr>
      </w:pPr>
      <w:r>
        <w:t xml:space="preserve">PZ </w:t>
      </w:r>
      <w:r>
        <w:t>≥</w:t>
      </w:r>
      <w:r>
        <w:t xml:space="preserve"> 11</w:t>
      </w:r>
    </w:p>
    <w:p w:rsidR="007C3D37" w:rsidRDefault="007C3D37" w:rsidP="007C3D37">
      <w:pPr>
        <w:numPr>
          <w:ilvl w:val="0"/>
          <w:numId w:val="6"/>
        </w:numPr>
      </w:pPr>
      <w:r>
        <w:t xml:space="preserve">PZ </w:t>
      </w:r>
      <w:r w:rsidR="00C91A44">
        <w:rPr>
          <w:lang w:val="en-GB"/>
        </w:rPr>
        <w:t>&lt; 11</w:t>
      </w:r>
    </w:p>
    <w:p w:rsidR="007C3D37" w:rsidRDefault="00C91A44" w:rsidP="007440D5">
      <w:r>
        <w:t xml:space="preserve">Pre tretiu skupinu sa úspešnosť v sezóne 2014/15 nepočíta. Ich bodová hodnota </w:t>
      </w:r>
      <w:r w:rsidR="004E5834">
        <w:t xml:space="preserve">(BH) </w:t>
      </w:r>
      <w:r>
        <w:t>pre postavenie v rebríčku sa počíta z bodovej hodnoty v</w:t>
      </w:r>
      <w:r w:rsidR="007760AA">
        <w:t xml:space="preserve"> predchádzajúcej</w:t>
      </w:r>
      <w:r>
        <w:t xml:space="preserve"> sezóne, </w:t>
      </w:r>
      <w:r w:rsidR="006B78DF">
        <w:t>v ktorej</w:t>
      </w:r>
      <w:r>
        <w:t xml:space="preserve"> odohrali aspoň 11 zápasov. </w:t>
      </w:r>
      <w:r w:rsidR="004E5834">
        <w:t xml:space="preserve">Rovnako sa počíta </w:t>
      </w:r>
      <w:r w:rsidR="006B78DF">
        <w:t xml:space="preserve">BH </w:t>
      </w:r>
      <w:r w:rsidR="004E5834">
        <w:t>aj hráčom, ktorí nehrali jednu alebo viac sezón. Ostatná platná bodová hodnota sa zmenší o koeficient poklesu KP (viď graf), ktorý sa počíta z nasledujúceho vzorca:</w:t>
      </w:r>
    </w:p>
    <w:p w:rsidR="004E5834" w:rsidRPr="00C91A44" w:rsidRDefault="004E5834" w:rsidP="007440D5">
      <m:oMathPara>
        <m:oMath>
          <m:r>
            <w:rPr>
              <w:rFonts w:ascii="Cambria Math" w:hAnsi="Cambria Math"/>
            </w:rPr>
            <m:t>KP=0,2</m:t>
          </m:r>
          <m:nary>
            <m:naryPr>
              <m:chr m:val="∑"/>
              <m:limLoc m:val="undOvr"/>
              <m:ctrlPr>
                <w:rPr>
                  <w:rFonts w:ascii="Cambria Math" w:hAnsi="Cambria Math"/>
                  <w:i/>
                </w:rPr>
              </m:ctrlPr>
            </m:naryPr>
            <m:sub>
              <m:r>
                <w:rPr>
                  <w:rFonts w:ascii="Cambria Math" w:hAnsi="Cambria Math"/>
                </w:rPr>
                <m:t>i=1</m:t>
              </m:r>
            </m:sub>
            <m:sup>
              <m:r>
                <w:rPr>
                  <w:rFonts w:ascii="Cambria Math" w:hAnsi="Cambria Math"/>
                </w:rPr>
                <m:t>PNR</m:t>
              </m:r>
            </m:sup>
            <m:e>
              <m:r>
                <w:rPr>
                  <w:rFonts w:ascii="Cambria Math" w:hAnsi="Cambria Math"/>
                </w:rPr>
                <m:t>1/i</m:t>
              </m:r>
            </m:e>
          </m:nary>
        </m:oMath>
      </m:oMathPara>
    </w:p>
    <w:p w:rsidR="00C91A44" w:rsidRDefault="004E5834" w:rsidP="007440D5">
      <w:r>
        <w:t xml:space="preserve">kde PNR </w:t>
      </w:r>
      <w:r w:rsidR="00E93A9F">
        <w:t>je počet sezón bez odohratého dostatočného množstva zápasov.</w:t>
      </w:r>
    </w:p>
    <w:p w:rsidR="00E93A9F" w:rsidRDefault="00E93A9F" w:rsidP="007440D5"/>
    <w:p w:rsidR="00C91A44" w:rsidRDefault="004E5834" w:rsidP="00C91A44">
      <w:pPr>
        <w:jc w:val="center"/>
      </w:pPr>
      <w:r>
        <w:rPr>
          <w:noProof/>
          <w:lang w:eastAsia="sk-SK"/>
        </w:rPr>
        <w:drawing>
          <wp:inline distT="0" distB="0" distL="0" distR="0">
            <wp:extent cx="3648075" cy="2962275"/>
            <wp:effectExtent l="0" t="0" r="0" b="0"/>
            <wp:docPr id="4" name="Graf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7C3D37" w:rsidRDefault="007C3D37" w:rsidP="007440D5"/>
    <w:p w:rsidR="00B9236A" w:rsidRDefault="00B806B5" w:rsidP="007440D5">
      <w:r>
        <w:t xml:space="preserve">Pre </w:t>
      </w:r>
      <w:r w:rsidR="006B78DF">
        <w:t>1. a 2. skupinu hráčov</w:t>
      </w:r>
      <w:r>
        <w:t xml:space="preserve"> sa počíta bodová hodnota BH z neredukovanej bodovej hodnoty (NBH) zo vzorca: </w:t>
      </w:r>
    </w:p>
    <w:p w:rsidR="00AA4F44" w:rsidRDefault="00AA4F44" w:rsidP="007440D5"/>
    <w:p w:rsidR="00D56867" w:rsidRDefault="00B806B5" w:rsidP="00B806B5">
      <w:pPr>
        <w:jc w:val="center"/>
      </w:pPr>
      <w:r>
        <w:t>BH = NBH − ZK</w:t>
      </w:r>
    </w:p>
    <w:p w:rsidR="00AA4F44" w:rsidRDefault="00AA4F44" w:rsidP="007440D5"/>
    <w:p w:rsidR="00B806B5" w:rsidRDefault="00B806B5" w:rsidP="007440D5">
      <w:r>
        <w:t>ZK je bodová redukcia na počet odohratých zápasov. Pre hráčov skupiny 1 je ZK = 0. Pre hráčov skupiny 2 sa ZK počíta zo vzorca:</w:t>
      </w:r>
    </w:p>
    <w:p w:rsidR="00AA4F44" w:rsidRDefault="00AA4F44" w:rsidP="007440D5"/>
    <w:p w:rsidR="00B806B5" w:rsidRDefault="00B806B5" w:rsidP="00B806B5">
      <w:pPr>
        <w:jc w:val="center"/>
      </w:pPr>
      <w:r>
        <w:t>ZK = 0,2(44</w:t>
      </w:r>
      <w:r w:rsidR="00AE74FF">
        <w:t xml:space="preserve"> </w:t>
      </w:r>
      <w:r w:rsidR="00AE74FF">
        <w:t>– PZ)/34</w:t>
      </w:r>
    </w:p>
    <w:p w:rsidR="00AA4F44" w:rsidRDefault="00AA4F44" w:rsidP="007440D5"/>
    <w:p w:rsidR="00553DBD" w:rsidRDefault="00553DBD" w:rsidP="007440D5">
      <w:r>
        <w:t>Neredukovaná bodová hodnota NBH sa počíta rovnako pre hráčov rôznych líg z rovnakého vzorca:</w:t>
      </w:r>
    </w:p>
    <w:p w:rsidR="00553DBD" w:rsidRDefault="00553DBD" w:rsidP="00553DBD">
      <w:pPr>
        <w:jc w:val="center"/>
      </w:pPr>
      <w:r>
        <w:t>NBH = OLK + PV/PZ</w:t>
      </w:r>
    </w:p>
    <w:p w:rsidR="006B78DF" w:rsidRDefault="006B78DF" w:rsidP="007440D5"/>
    <w:p w:rsidR="00553DBD" w:rsidRDefault="00553DBD" w:rsidP="007440D5">
      <w:r>
        <w:t xml:space="preserve">V tomto vzorci je OLK osobný ligový koeficient a PV celkový počet výhier vo všetkých ligách. OLK je pre hráčov, ktorí hrali iba jednu ligu rovný ligovému koeficientu (LK) danej ligy. Pre hráčov, ktorí hrali viac líg, sa OLK počíta ako vážený priemer </w:t>
      </w:r>
      <w:r w:rsidR="00FD27EB">
        <w:t xml:space="preserve">ligových koeficientov rôznych líg </w:t>
      </w:r>
      <w:proofErr w:type="spellStart"/>
      <w:r w:rsidR="00FD27EB">
        <w:t>LK</w:t>
      </w:r>
      <w:r w:rsidR="00FD27EB">
        <w:rPr>
          <w:vertAlign w:val="subscript"/>
        </w:rPr>
        <w:t>i</w:t>
      </w:r>
      <w:proofErr w:type="spellEnd"/>
      <w:r w:rsidR="00FD27EB">
        <w:t xml:space="preserve"> </w:t>
      </w:r>
      <w:r>
        <w:t>zohľadňujúci počet zápasov odohratých v jednotlivých ligách</w:t>
      </w:r>
      <w:r w:rsidR="00FD27EB">
        <w:t xml:space="preserve"> </w:t>
      </w:r>
      <w:proofErr w:type="spellStart"/>
      <w:r w:rsidR="00FD27EB">
        <w:t>PZ</w:t>
      </w:r>
      <w:r w:rsidR="00FD27EB">
        <w:rPr>
          <w:vertAlign w:val="subscript"/>
        </w:rPr>
        <w:t>i</w:t>
      </w:r>
      <w:proofErr w:type="spellEnd"/>
      <w:r>
        <w:t>. Vzorec je nasledujúci:</w:t>
      </w:r>
    </w:p>
    <w:p w:rsidR="00553DBD" w:rsidRDefault="00553DBD" w:rsidP="00553DBD">
      <w:pPr>
        <w:jc w:val="center"/>
      </w:pPr>
      <m:oMathPara>
        <m:oMath>
          <m:r>
            <w:rPr>
              <w:rFonts w:ascii="Cambria Math" w:hAnsi="Cambria Math"/>
            </w:rPr>
            <m:t xml:space="preserve">OLK= </m:t>
          </m:r>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r>
                <w:rPr>
                  <w:rFonts w:ascii="Cambria Math" w:hAnsi="Cambria Math"/>
                </w:rPr>
                <m:t>(</m:t>
              </m:r>
              <m:sSub>
                <m:sSubPr>
                  <m:ctrlPr>
                    <w:rPr>
                      <w:rFonts w:ascii="Cambria Math" w:hAnsi="Cambria Math"/>
                      <w:i/>
                    </w:rPr>
                  </m:ctrlPr>
                </m:sSubPr>
                <m:e>
                  <m:r>
                    <w:rPr>
                      <w:rFonts w:ascii="Cambria Math" w:hAnsi="Cambria Math"/>
                    </w:rPr>
                    <m:t>LK</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PZ</m:t>
                  </m:r>
                </m:e>
                <m:sub>
                  <m:r>
                    <w:rPr>
                      <w:rFonts w:ascii="Cambria Math" w:hAnsi="Cambria Math"/>
                    </w:rPr>
                    <m:t>i</m:t>
                  </m:r>
                </m:sub>
              </m:sSub>
              <m:r>
                <w:rPr>
                  <w:rFonts w:ascii="Cambria Math" w:hAnsi="Cambria Math"/>
                </w:rPr>
                <m:t>)</m:t>
              </m:r>
            </m:e>
          </m:nary>
          <m:r>
            <w:rPr>
              <w:rFonts w:ascii="Cambria Math" w:hAnsi="Cambria Math"/>
            </w:rPr>
            <m:t>/PZ</m:t>
          </m:r>
        </m:oMath>
      </m:oMathPara>
    </w:p>
    <w:p w:rsidR="00553DBD" w:rsidRDefault="00553DBD" w:rsidP="007440D5"/>
    <w:p w:rsidR="00BB1C13" w:rsidRDefault="00BB1C13" w:rsidP="007440D5">
      <w:r>
        <w:t>Ligové koeficienty boli vypočítané pomocou optimalizačného výpočtu porovnania výsledkov hráčov, ktorí hrali viacero líg. Pre aktuálny rebríček boli vypočítané nasledujúce hodnoty:</w:t>
      </w:r>
    </w:p>
    <w:p w:rsidR="00BB1C13" w:rsidRDefault="00BB1C13" w:rsidP="007440D5"/>
    <w:tbl>
      <w:tblPr>
        <w:tblStyle w:val="Mriekatabuky"/>
        <w:tblW w:w="0" w:type="auto"/>
        <w:tblLook w:val="04A0" w:firstRow="1" w:lastRow="0" w:firstColumn="1" w:lastColumn="0" w:noHBand="0" w:noVBand="1"/>
      </w:tblPr>
      <w:tblGrid>
        <w:gridCol w:w="1151"/>
        <w:gridCol w:w="1151"/>
        <w:gridCol w:w="1151"/>
        <w:gridCol w:w="1151"/>
        <w:gridCol w:w="1152"/>
        <w:gridCol w:w="1152"/>
        <w:gridCol w:w="1152"/>
        <w:gridCol w:w="1152"/>
      </w:tblGrid>
      <w:tr w:rsidR="00BB1C13" w:rsidTr="00BB1C13">
        <w:tc>
          <w:tcPr>
            <w:tcW w:w="1151" w:type="dxa"/>
          </w:tcPr>
          <w:p w:rsidR="00BB1C13" w:rsidRPr="00BB1C13" w:rsidRDefault="00BB1C13" w:rsidP="007440D5">
            <w:pPr>
              <w:rPr>
                <w:b/>
              </w:rPr>
            </w:pPr>
            <w:r w:rsidRPr="00BB1C13">
              <w:rPr>
                <w:b/>
              </w:rPr>
              <w:t>Liga</w:t>
            </w:r>
          </w:p>
        </w:tc>
        <w:tc>
          <w:tcPr>
            <w:tcW w:w="1151" w:type="dxa"/>
          </w:tcPr>
          <w:p w:rsidR="00BB1C13" w:rsidRDefault="00BB1C13" w:rsidP="00BB1C13">
            <w:pPr>
              <w:jc w:val="center"/>
            </w:pPr>
            <w:r>
              <w:t>2</w:t>
            </w:r>
          </w:p>
        </w:tc>
        <w:tc>
          <w:tcPr>
            <w:tcW w:w="1151" w:type="dxa"/>
          </w:tcPr>
          <w:p w:rsidR="00BB1C13" w:rsidRDefault="00BB1C13" w:rsidP="00BB1C13">
            <w:pPr>
              <w:jc w:val="center"/>
            </w:pPr>
            <w:r>
              <w:t>3</w:t>
            </w:r>
          </w:p>
        </w:tc>
        <w:tc>
          <w:tcPr>
            <w:tcW w:w="1151" w:type="dxa"/>
          </w:tcPr>
          <w:p w:rsidR="00BB1C13" w:rsidRDefault="00BB1C13" w:rsidP="00BB1C13">
            <w:pPr>
              <w:jc w:val="center"/>
            </w:pPr>
            <w:r>
              <w:t>4</w:t>
            </w:r>
          </w:p>
        </w:tc>
        <w:tc>
          <w:tcPr>
            <w:tcW w:w="1152" w:type="dxa"/>
          </w:tcPr>
          <w:p w:rsidR="00BB1C13" w:rsidRDefault="00BB1C13" w:rsidP="00BB1C13">
            <w:pPr>
              <w:jc w:val="center"/>
            </w:pPr>
            <w:r>
              <w:t>5</w:t>
            </w:r>
          </w:p>
        </w:tc>
        <w:tc>
          <w:tcPr>
            <w:tcW w:w="1152" w:type="dxa"/>
          </w:tcPr>
          <w:p w:rsidR="00BB1C13" w:rsidRDefault="00BB1C13" w:rsidP="00BB1C13">
            <w:pPr>
              <w:jc w:val="center"/>
            </w:pPr>
            <w:r>
              <w:t>6</w:t>
            </w:r>
          </w:p>
        </w:tc>
        <w:tc>
          <w:tcPr>
            <w:tcW w:w="1152" w:type="dxa"/>
          </w:tcPr>
          <w:p w:rsidR="00BB1C13" w:rsidRDefault="00BB1C13" w:rsidP="00BB1C13">
            <w:pPr>
              <w:jc w:val="center"/>
            </w:pPr>
            <w:r>
              <w:t>7</w:t>
            </w:r>
          </w:p>
        </w:tc>
        <w:tc>
          <w:tcPr>
            <w:tcW w:w="1152" w:type="dxa"/>
          </w:tcPr>
          <w:p w:rsidR="00BB1C13" w:rsidRDefault="00BB1C13" w:rsidP="00BB1C13">
            <w:pPr>
              <w:jc w:val="center"/>
            </w:pPr>
            <w:r>
              <w:t>8</w:t>
            </w:r>
          </w:p>
        </w:tc>
      </w:tr>
      <w:tr w:rsidR="00BB1C13" w:rsidTr="00BB1C13">
        <w:tc>
          <w:tcPr>
            <w:tcW w:w="1151" w:type="dxa"/>
          </w:tcPr>
          <w:p w:rsidR="00BB1C13" w:rsidRPr="00BB1C13" w:rsidRDefault="00BB1C13" w:rsidP="007440D5">
            <w:pPr>
              <w:rPr>
                <w:b/>
              </w:rPr>
            </w:pPr>
            <w:r w:rsidRPr="00BB1C13">
              <w:rPr>
                <w:b/>
              </w:rPr>
              <w:t>LK</w:t>
            </w:r>
          </w:p>
        </w:tc>
        <w:tc>
          <w:tcPr>
            <w:tcW w:w="1151" w:type="dxa"/>
          </w:tcPr>
          <w:p w:rsidR="00BB1C13" w:rsidRDefault="00BB1C13" w:rsidP="00BB1C13">
            <w:pPr>
              <w:jc w:val="center"/>
            </w:pPr>
            <w:r>
              <w:t>5</w:t>
            </w:r>
          </w:p>
        </w:tc>
        <w:tc>
          <w:tcPr>
            <w:tcW w:w="1151" w:type="dxa"/>
          </w:tcPr>
          <w:p w:rsidR="00BB1C13" w:rsidRDefault="00BB1C13" w:rsidP="00BB1C13">
            <w:pPr>
              <w:jc w:val="center"/>
            </w:pPr>
            <w:r>
              <w:t>4,8</w:t>
            </w:r>
          </w:p>
        </w:tc>
        <w:tc>
          <w:tcPr>
            <w:tcW w:w="1151" w:type="dxa"/>
          </w:tcPr>
          <w:p w:rsidR="00BB1C13" w:rsidRDefault="00BB1C13" w:rsidP="00BB1C13">
            <w:pPr>
              <w:jc w:val="center"/>
            </w:pPr>
            <w:r>
              <w:t>4,65</w:t>
            </w:r>
          </w:p>
        </w:tc>
        <w:tc>
          <w:tcPr>
            <w:tcW w:w="1152" w:type="dxa"/>
          </w:tcPr>
          <w:p w:rsidR="00BB1C13" w:rsidRDefault="00BB1C13" w:rsidP="00BB1C13">
            <w:pPr>
              <w:jc w:val="center"/>
            </w:pPr>
            <w:r>
              <w:t>4,4</w:t>
            </w:r>
          </w:p>
        </w:tc>
        <w:tc>
          <w:tcPr>
            <w:tcW w:w="1152" w:type="dxa"/>
          </w:tcPr>
          <w:p w:rsidR="00BB1C13" w:rsidRDefault="00BB1C13" w:rsidP="00BB1C13">
            <w:pPr>
              <w:jc w:val="center"/>
            </w:pPr>
            <w:r>
              <w:t>4,2</w:t>
            </w:r>
          </w:p>
        </w:tc>
        <w:tc>
          <w:tcPr>
            <w:tcW w:w="1152" w:type="dxa"/>
          </w:tcPr>
          <w:p w:rsidR="00BB1C13" w:rsidRDefault="00BB1C13" w:rsidP="00BB1C13">
            <w:pPr>
              <w:jc w:val="center"/>
            </w:pPr>
            <w:r>
              <w:t>4,0</w:t>
            </w:r>
          </w:p>
        </w:tc>
        <w:tc>
          <w:tcPr>
            <w:tcW w:w="1152" w:type="dxa"/>
          </w:tcPr>
          <w:p w:rsidR="00BB1C13" w:rsidRDefault="00BB1C13" w:rsidP="00BB1C13">
            <w:pPr>
              <w:jc w:val="center"/>
            </w:pPr>
            <w:r>
              <w:t>3,8</w:t>
            </w:r>
          </w:p>
        </w:tc>
      </w:tr>
    </w:tbl>
    <w:p w:rsidR="00BB1C13" w:rsidRDefault="00BB1C13" w:rsidP="007440D5"/>
    <w:p w:rsidR="00BB1C13" w:rsidRDefault="00BB1C13" w:rsidP="007440D5"/>
    <w:p w:rsidR="000730C3" w:rsidRPr="000730C3" w:rsidRDefault="000730C3" w:rsidP="007440D5">
      <w:pPr>
        <w:rPr>
          <w:b/>
          <w:i/>
        </w:rPr>
      </w:pPr>
      <w:r w:rsidRPr="000730C3">
        <w:rPr>
          <w:b/>
          <w:i/>
        </w:rPr>
        <w:t>Spôsob výpočtu ligových koeficientov</w:t>
      </w:r>
    </w:p>
    <w:p w:rsidR="00BB1C13" w:rsidRDefault="00BB1C13" w:rsidP="007440D5"/>
    <w:p w:rsidR="000730C3" w:rsidRDefault="00E212AA" w:rsidP="007440D5">
      <w:r>
        <w:t xml:space="preserve">Výpočet ligových koeficientov je založený na výsledkoch hráčov, ktorí </w:t>
      </w:r>
      <w:r w:rsidR="007422BB">
        <w:t xml:space="preserve">hrali </w:t>
      </w:r>
      <w:r>
        <w:t xml:space="preserve">dve alebo tri ligy. Do optimalizačného výpočtu boli zahrnutí iba hráči, ktorí odohrali v každej z líg najmenej 11 zápasov. V prípade hráčov, ktorí hrali tri ligy sa robili dve porovnania – medzi najvyššou a strednou ligou a medzi strednou a najnižšou ligou. Pre každé porovnanie dvoch líg sa vypočítal priemerný počet zápasov </w:t>
      </w:r>
      <m:oMath>
        <m:acc>
          <m:accPr>
            <m:chr m:val="̅"/>
            <m:ctrlPr>
              <w:rPr>
                <w:rFonts w:ascii="Cambria Math" w:hAnsi="Cambria Math"/>
                <w:i/>
              </w:rPr>
            </m:ctrlPr>
          </m:accPr>
          <m:e>
            <m:r>
              <w:rPr>
                <w:rFonts w:ascii="Cambria Math" w:hAnsi="Cambria Math"/>
              </w:rPr>
              <m:t>PZ</m:t>
            </m:r>
          </m:e>
        </m:acc>
      </m:oMath>
      <w:r w:rsidR="00174E63">
        <w:t xml:space="preserve"> </w:t>
      </w:r>
      <w:r>
        <w:t>v týchto ligách ako geometrický priemer:</w:t>
      </w:r>
    </w:p>
    <w:p w:rsidR="00E212AA" w:rsidRDefault="00E212AA" w:rsidP="007440D5"/>
    <w:p w:rsidR="00E212AA" w:rsidRDefault="00174E63" w:rsidP="00E212AA">
      <w:pPr>
        <w:jc w:val="center"/>
      </w:pPr>
      <m:oMathPara>
        <m:oMath>
          <m:acc>
            <m:accPr>
              <m:chr m:val="̅"/>
              <m:ctrlPr>
                <w:rPr>
                  <w:rFonts w:ascii="Cambria Math" w:hAnsi="Cambria Math"/>
                  <w:i/>
                </w:rPr>
              </m:ctrlPr>
            </m:accPr>
            <m:e>
              <m:r>
                <w:rPr>
                  <w:rFonts w:ascii="Cambria Math" w:hAnsi="Cambria Math"/>
                </w:rPr>
                <m:t>PZ</m:t>
              </m:r>
            </m:e>
          </m:acc>
          <m:r>
            <w:rPr>
              <w:rFonts w:ascii="Cambria Math" w:hAnsi="Cambria Math"/>
            </w:rPr>
            <m:t>=</m:t>
          </m:r>
          <m:rad>
            <m:radPr>
              <m:degHide m:val="1"/>
              <m:ctrlPr>
                <w:rPr>
                  <w:rFonts w:ascii="Cambria Math" w:hAnsi="Cambria Math"/>
                  <w:i/>
                </w:rPr>
              </m:ctrlPr>
            </m:radPr>
            <m:deg/>
            <m:e>
              <m:sSub>
                <m:sSubPr>
                  <m:ctrlPr>
                    <w:rPr>
                      <w:rFonts w:ascii="Cambria Math" w:hAnsi="Cambria Math"/>
                      <w:i/>
                    </w:rPr>
                  </m:ctrlPr>
                </m:sSubPr>
                <m:e>
                  <m:r>
                    <w:rPr>
                      <w:rFonts w:ascii="Cambria Math" w:hAnsi="Cambria Math"/>
                    </w:rPr>
                    <m:t>PZ</m:t>
                  </m:r>
                </m:e>
                <m:sub>
                  <m:r>
                    <w:rPr>
                      <w:rFonts w:ascii="Cambria Math" w:hAnsi="Cambria Math"/>
                    </w:rPr>
                    <m:t>1</m:t>
                  </m:r>
                </m:sub>
              </m:sSub>
              <m:sSub>
                <m:sSubPr>
                  <m:ctrlPr>
                    <w:rPr>
                      <w:rFonts w:ascii="Cambria Math" w:hAnsi="Cambria Math"/>
                      <w:i/>
                    </w:rPr>
                  </m:ctrlPr>
                </m:sSubPr>
                <m:e>
                  <m:r>
                    <w:rPr>
                      <w:rFonts w:ascii="Cambria Math" w:hAnsi="Cambria Math"/>
                    </w:rPr>
                    <m:t>PZ</m:t>
                  </m:r>
                </m:e>
                <m:sub>
                  <m:r>
                    <w:rPr>
                      <w:rFonts w:ascii="Cambria Math" w:hAnsi="Cambria Math"/>
                    </w:rPr>
                    <m:t>2</m:t>
                  </m:r>
                </m:sub>
              </m:sSub>
            </m:e>
          </m:rad>
        </m:oMath>
      </m:oMathPara>
    </w:p>
    <w:p w:rsidR="00E212AA" w:rsidRDefault="00E212AA" w:rsidP="007440D5"/>
    <w:p w:rsidR="002566E4" w:rsidRDefault="007422BB" w:rsidP="007440D5">
      <w:r>
        <w:t>L</w:t>
      </w:r>
      <w:r w:rsidR="002566E4">
        <w:t>igové bodové hodnoty</w:t>
      </w:r>
      <w:r w:rsidR="008A5F96">
        <w:t xml:space="preserve"> vyššej ligy</w:t>
      </w:r>
      <w:r w:rsidR="002566E4">
        <w:t xml:space="preserve"> LBH</w:t>
      </w:r>
      <w:r w:rsidR="002566E4">
        <w:rPr>
          <w:vertAlign w:val="subscript"/>
        </w:rPr>
        <w:t>1</w:t>
      </w:r>
      <w:r w:rsidR="002566E4">
        <w:t xml:space="preserve"> a</w:t>
      </w:r>
      <w:r w:rsidR="008A5F96">
        <w:t xml:space="preserve"> nižšej ligy </w:t>
      </w:r>
      <w:r w:rsidR="002566E4">
        <w:t>LBH</w:t>
      </w:r>
      <w:r w:rsidR="002566E4">
        <w:rPr>
          <w:vertAlign w:val="subscript"/>
        </w:rPr>
        <w:t>2</w:t>
      </w:r>
      <w:r w:rsidR="002566E4">
        <w:t xml:space="preserve"> </w:t>
      </w:r>
      <w:r>
        <w:t>sa vypočítali z týchto vzorcov:</w:t>
      </w:r>
    </w:p>
    <w:p w:rsidR="002566E4" w:rsidRDefault="002566E4" w:rsidP="007440D5"/>
    <w:p w:rsidR="002566E4" w:rsidRDefault="002566E4" w:rsidP="002566E4">
      <w:pPr>
        <w:jc w:val="center"/>
      </w:pPr>
      <m:oMath>
        <m:sSub>
          <m:sSubPr>
            <m:ctrlPr>
              <w:rPr>
                <w:rFonts w:ascii="Cambria Math" w:hAnsi="Cambria Math"/>
                <w:i/>
              </w:rPr>
            </m:ctrlPr>
          </m:sSubPr>
          <m:e>
            <m:r>
              <w:rPr>
                <w:rFonts w:ascii="Cambria Math" w:hAnsi="Cambria Math"/>
              </w:rPr>
              <m:t>LBH</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LK</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PV</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PZ</m:t>
            </m:r>
          </m:e>
          <m:sub>
            <m:r>
              <w:rPr>
                <w:rFonts w:ascii="Cambria Math" w:hAnsi="Cambria Math"/>
              </w:rPr>
              <m:t>1</m:t>
            </m:r>
          </m:sub>
        </m:sSub>
      </m:oMath>
      <w:r>
        <w:tab/>
      </w:r>
      <w:r>
        <w:tab/>
      </w:r>
      <w:r>
        <w:tab/>
      </w:r>
      <m:oMath>
        <m:sSub>
          <m:sSubPr>
            <m:ctrlPr>
              <w:rPr>
                <w:rFonts w:ascii="Cambria Math" w:hAnsi="Cambria Math"/>
                <w:i/>
              </w:rPr>
            </m:ctrlPr>
          </m:sSubPr>
          <m:e>
            <m:r>
              <w:rPr>
                <w:rFonts w:ascii="Cambria Math" w:hAnsi="Cambria Math"/>
              </w:rPr>
              <m:t>LBH</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LK</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PV</m:t>
            </m:r>
          </m:e>
          <m:sub>
            <m:r>
              <w:rPr>
                <w:rFonts w:ascii="Cambria Math" w:hAnsi="Cambria Math"/>
              </w:rPr>
              <m:t>2</m:t>
            </m:r>
          </m:sub>
        </m:sSub>
        <m:r>
          <w:rPr>
            <w:rFonts w:ascii="Cambria Math" w:hAnsi="Cambria Math"/>
          </w:rPr>
          <m:t xml:space="preserve"> /</m:t>
        </m:r>
        <m:sSub>
          <m:sSubPr>
            <m:ctrlPr>
              <w:rPr>
                <w:rFonts w:ascii="Cambria Math" w:hAnsi="Cambria Math"/>
                <w:i/>
              </w:rPr>
            </m:ctrlPr>
          </m:sSubPr>
          <m:e>
            <m:r>
              <w:rPr>
                <w:rFonts w:ascii="Cambria Math" w:hAnsi="Cambria Math"/>
              </w:rPr>
              <m:t>PZ</m:t>
            </m:r>
          </m:e>
          <m:sub>
            <m:r>
              <w:rPr>
                <w:rFonts w:ascii="Cambria Math" w:hAnsi="Cambria Math"/>
              </w:rPr>
              <m:t>2</m:t>
            </m:r>
          </m:sub>
        </m:sSub>
      </m:oMath>
    </w:p>
    <w:p w:rsidR="002566E4" w:rsidRDefault="002566E4" w:rsidP="007440D5"/>
    <w:p w:rsidR="00594CEE" w:rsidRDefault="00594CEE" w:rsidP="007440D5">
      <w:r>
        <w:t>Nakoniec sa vypočítal vážený rozdiel VR týchto hodnôt</w:t>
      </w:r>
      <w:r w:rsidR="007422BB">
        <w:t xml:space="preserve"> tak, že sa absolútna hodnota rozdielu násobila priemerným počtom zápasov</w:t>
      </w:r>
      <w:r>
        <w:t>:</w:t>
      </w:r>
    </w:p>
    <w:p w:rsidR="00594CEE" w:rsidRDefault="00594CEE" w:rsidP="007440D5"/>
    <w:p w:rsidR="00594CEE" w:rsidRDefault="00594CEE" w:rsidP="00594CEE">
      <w:pPr>
        <w:jc w:val="center"/>
      </w:pPr>
      <m:oMathPara>
        <m:oMath>
          <m:r>
            <w:rPr>
              <w:rFonts w:ascii="Cambria Math" w:hAnsi="Cambria Math"/>
            </w:rPr>
            <m:t>VR=</m:t>
          </m:r>
          <m:acc>
            <m:accPr>
              <m:chr m:val="̅"/>
              <m:ctrlPr>
                <w:rPr>
                  <w:rFonts w:ascii="Cambria Math" w:hAnsi="Cambria Math"/>
                  <w:i/>
                </w:rPr>
              </m:ctrlPr>
            </m:accPr>
            <m:e>
              <m:r>
                <w:rPr>
                  <w:rFonts w:ascii="Cambria Math" w:hAnsi="Cambria Math"/>
                </w:rPr>
                <m:t>PZ</m:t>
              </m:r>
            </m:e>
          </m:acc>
          <m:d>
            <m:dPr>
              <m:begChr m:val="|"/>
              <m:endChr m:val="|"/>
              <m:ctrlPr>
                <w:rPr>
                  <w:rFonts w:ascii="Cambria Math" w:hAnsi="Cambria Math"/>
                  <w:i/>
                </w:rPr>
              </m:ctrlPr>
            </m:dPr>
            <m:e>
              <m:sSub>
                <m:sSubPr>
                  <m:ctrlPr>
                    <w:rPr>
                      <w:rFonts w:ascii="Cambria Math" w:hAnsi="Cambria Math"/>
                      <w:i/>
                    </w:rPr>
                  </m:ctrlPr>
                </m:sSubPr>
                <m:e>
                  <m:r>
                    <w:rPr>
                      <w:rFonts w:ascii="Cambria Math" w:hAnsi="Cambria Math"/>
                    </w:rPr>
                    <m:t>LBH</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LBH</m:t>
                  </m:r>
                </m:e>
                <m:sub>
                  <m:r>
                    <w:rPr>
                      <w:rFonts w:ascii="Cambria Math" w:hAnsi="Cambria Math"/>
                    </w:rPr>
                    <m:t>2</m:t>
                  </m:r>
                </m:sub>
              </m:sSub>
            </m:e>
          </m:d>
        </m:oMath>
      </m:oMathPara>
    </w:p>
    <w:p w:rsidR="00594CEE" w:rsidRDefault="00594CEE" w:rsidP="00594CEE">
      <w:pPr>
        <w:jc w:val="center"/>
      </w:pPr>
    </w:p>
    <w:p w:rsidR="00594CEE" w:rsidRDefault="00594CEE" w:rsidP="007440D5">
      <w:r>
        <w:t>Pre zahrnutie hodnoty VR do súčtovej účelovej funkcie boli dané dve obmedzenia pre hráčov, ktorých úspešnosti v dvoch ligách boli veľmi vysoké alebo veľmi nízke</w:t>
      </w:r>
      <w:r w:rsidR="009A0A2D">
        <w:t xml:space="preserve">. </w:t>
      </w:r>
      <w:r w:rsidR="008A5F96">
        <w:t>Tieto obmedzenia boli vyjadrené dvoma podmienkami</w:t>
      </w:r>
      <w:r>
        <w:t xml:space="preserve">: </w:t>
      </w:r>
    </w:p>
    <w:p w:rsidR="00594CEE" w:rsidRDefault="00594CEE" w:rsidP="007440D5"/>
    <w:p w:rsidR="008A5F96" w:rsidRDefault="008A5F96" w:rsidP="008A5F96">
      <w:pPr>
        <w:jc w:val="center"/>
      </w:pPr>
      <m:oMath>
        <m:sSub>
          <m:sSubPr>
            <m:ctrlPr>
              <w:rPr>
                <w:rFonts w:ascii="Cambria Math" w:hAnsi="Cambria Math"/>
                <w:i/>
              </w:rPr>
            </m:ctrlPr>
          </m:sSubPr>
          <m:e>
            <m:r>
              <w:rPr>
                <w:rFonts w:ascii="Cambria Math" w:hAnsi="Cambria Math"/>
              </w:rPr>
              <m:t>LBH</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LK</m:t>
            </m:r>
          </m:e>
          <m:sub>
            <m:r>
              <w:rPr>
                <w:rFonts w:ascii="Cambria Math" w:hAnsi="Cambria Math"/>
              </w:rPr>
              <m:t>2</m:t>
            </m:r>
          </m:sub>
        </m:sSub>
        <m:r>
          <w:rPr>
            <w:rFonts w:ascii="Cambria Math" w:hAnsi="Cambria Math"/>
          </w:rPr>
          <m:t>≤1</m:t>
        </m:r>
      </m:oMath>
      <w:r>
        <w:tab/>
      </w:r>
      <w:r>
        <w:tab/>
      </w:r>
      <w:r>
        <w:tab/>
      </w:r>
      <m:oMath>
        <m:sSub>
          <m:sSubPr>
            <m:ctrlPr>
              <w:rPr>
                <w:rFonts w:ascii="Cambria Math" w:hAnsi="Cambria Math"/>
                <w:i/>
              </w:rPr>
            </m:ctrlPr>
          </m:sSubPr>
          <m:e>
            <m:r>
              <w:rPr>
                <w:rFonts w:ascii="Cambria Math" w:hAnsi="Cambria Math"/>
              </w:rPr>
              <m:t>LBH</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LK</m:t>
            </m:r>
          </m:e>
          <m:sub>
            <m:r>
              <w:rPr>
                <w:rFonts w:ascii="Cambria Math" w:hAnsi="Cambria Math"/>
              </w:rPr>
              <m:t>1</m:t>
            </m:r>
          </m:sub>
        </m:sSub>
        <m:r>
          <w:rPr>
            <w:rFonts w:ascii="Cambria Math" w:hAnsi="Cambria Math"/>
          </w:rPr>
          <m:t>≥0</m:t>
        </m:r>
      </m:oMath>
    </w:p>
    <w:p w:rsidR="008A5F96" w:rsidRDefault="008A5F96" w:rsidP="007440D5"/>
    <w:p w:rsidR="008A5F96" w:rsidRPr="008A5F96" w:rsidRDefault="008A5F96" w:rsidP="007440D5">
      <w:r>
        <w:t xml:space="preserve">Ak ktorákoľvek z týchto dvoch podmienok nebola splnená, daná hodnota VR nebola zarátaná do účelovej funkcie. </w:t>
      </w:r>
    </w:p>
    <w:p w:rsidR="002566E4" w:rsidRDefault="00594CEE" w:rsidP="007440D5">
      <w:r>
        <w:t>Účelová funkcia pre optimalizáciu ligových koeficientov bola</w:t>
      </w:r>
      <w:r w:rsidR="007422BB">
        <w:t xml:space="preserve"> súčtom</w:t>
      </w:r>
      <w:r>
        <w:t xml:space="preserve"> hodnôt </w:t>
      </w:r>
      <w:r w:rsidR="008A5F96">
        <w:t xml:space="preserve">VR </w:t>
      </w:r>
      <w:r>
        <w:t>pre všetkých hráčov</w:t>
      </w:r>
      <w:r w:rsidR="008A5F96">
        <w:t xml:space="preserve"> spĺňajúcich obe obmedzenia</w:t>
      </w:r>
      <w:r>
        <w:t>:</w:t>
      </w:r>
    </w:p>
    <w:p w:rsidR="00594CEE" w:rsidRDefault="00594CEE" w:rsidP="007440D5"/>
    <w:p w:rsidR="00594CEE" w:rsidRDefault="00594CEE" w:rsidP="00594CEE">
      <w:pPr>
        <w:jc w:val="center"/>
      </w:pPr>
      <m:oMathPara>
        <m:oMath>
          <m:r>
            <w:rPr>
              <w:rFonts w:ascii="Cambria Math" w:hAnsi="Cambria Math"/>
            </w:rPr>
            <m:t>S=</m:t>
          </m:r>
          <m:nary>
            <m:naryPr>
              <m:chr m:val="∑"/>
              <m:limLoc m:val="undOvr"/>
              <m:supHide m:val="1"/>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VR</m:t>
                  </m:r>
                </m:e>
                <m:sub>
                  <m:r>
                    <w:rPr>
                      <w:rFonts w:ascii="Cambria Math" w:hAnsi="Cambria Math"/>
                    </w:rPr>
                    <m:t>i</m:t>
                  </m:r>
                </m:sub>
              </m:sSub>
              <m:r>
                <w:rPr>
                  <w:rFonts w:ascii="Cambria Math" w:hAnsi="Cambria Math"/>
                </w:rPr>
                <m:t>=min</m:t>
              </m:r>
            </m:e>
          </m:nary>
        </m:oMath>
      </m:oMathPara>
    </w:p>
    <w:p w:rsidR="00594CEE" w:rsidRDefault="00594CEE" w:rsidP="007440D5"/>
    <w:p w:rsidR="008A5F96" w:rsidRDefault="008A5F96" w:rsidP="007440D5">
      <w:r>
        <w:lastRenderedPageBreak/>
        <w:t>Optimálne hodnoty ligových koeficientov boli získané minimalizáciou účelovej funkcie s presnosťou 0,05</w:t>
      </w:r>
      <w:r w:rsidR="004C4F3F">
        <w:t>, pričom koeficient p</w:t>
      </w:r>
      <w:r w:rsidR="006B78DF">
        <w:t>re 2. ligu bol nastavený na hodnotu 5,0</w:t>
      </w:r>
      <w:r w:rsidR="004C4F3F">
        <w:t xml:space="preserve"> a bol fixovaný</w:t>
      </w:r>
      <w:r w:rsidR="007422BB">
        <w:t xml:space="preserve">. </w:t>
      </w:r>
    </w:p>
    <w:sectPr w:rsidR="008A5F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2FF" w:usb1="420024FF" w:usb2="00000000"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84B27"/>
    <w:multiLevelType w:val="hybridMultilevel"/>
    <w:tmpl w:val="DFEA98E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3CD570E2"/>
    <w:multiLevelType w:val="hybridMultilevel"/>
    <w:tmpl w:val="10B08A4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57692849"/>
    <w:multiLevelType w:val="hybridMultilevel"/>
    <w:tmpl w:val="8896552C"/>
    <w:lvl w:ilvl="0" w:tplc="40E87AD4">
      <w:numFmt w:val="bullet"/>
      <w:lvlText w:val="-"/>
      <w:lvlJc w:val="left"/>
      <w:pPr>
        <w:ind w:left="720" w:hanging="360"/>
      </w:pPr>
      <w:rPr>
        <w:rFonts w:ascii="Times New Roman" w:eastAsia="SimSu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61DB6979"/>
    <w:multiLevelType w:val="hybridMultilevel"/>
    <w:tmpl w:val="DC1A8282"/>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
    <w:nsid w:val="70511F05"/>
    <w:multiLevelType w:val="hybridMultilevel"/>
    <w:tmpl w:val="7700C58A"/>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
    <w:nsid w:val="7F6B74CF"/>
    <w:multiLevelType w:val="hybridMultilevel"/>
    <w:tmpl w:val="2EFE4C6C"/>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0D5"/>
    <w:rsid w:val="0003558A"/>
    <w:rsid w:val="000730C3"/>
    <w:rsid w:val="000856E1"/>
    <w:rsid w:val="000C4384"/>
    <w:rsid w:val="000D6592"/>
    <w:rsid w:val="00102B6E"/>
    <w:rsid w:val="0010626D"/>
    <w:rsid w:val="00174E63"/>
    <w:rsid w:val="00195397"/>
    <w:rsid w:val="001D14F8"/>
    <w:rsid w:val="001D6CED"/>
    <w:rsid w:val="002566E4"/>
    <w:rsid w:val="002A45D4"/>
    <w:rsid w:val="002D6305"/>
    <w:rsid w:val="00396458"/>
    <w:rsid w:val="00414B49"/>
    <w:rsid w:val="00422A16"/>
    <w:rsid w:val="00446CB3"/>
    <w:rsid w:val="00464469"/>
    <w:rsid w:val="004864EE"/>
    <w:rsid w:val="004974DC"/>
    <w:rsid w:val="004C4F3F"/>
    <w:rsid w:val="004E5834"/>
    <w:rsid w:val="00542D54"/>
    <w:rsid w:val="00553DBD"/>
    <w:rsid w:val="00555D0C"/>
    <w:rsid w:val="00575FD9"/>
    <w:rsid w:val="00594CEE"/>
    <w:rsid w:val="006B78DF"/>
    <w:rsid w:val="006D2F5C"/>
    <w:rsid w:val="006E23A0"/>
    <w:rsid w:val="0070036C"/>
    <w:rsid w:val="00732A11"/>
    <w:rsid w:val="00741A0E"/>
    <w:rsid w:val="007422BB"/>
    <w:rsid w:val="007440D5"/>
    <w:rsid w:val="00762950"/>
    <w:rsid w:val="007760AA"/>
    <w:rsid w:val="00780593"/>
    <w:rsid w:val="007C3D37"/>
    <w:rsid w:val="007D045A"/>
    <w:rsid w:val="007D21B9"/>
    <w:rsid w:val="007F3D18"/>
    <w:rsid w:val="00801FD0"/>
    <w:rsid w:val="0080344A"/>
    <w:rsid w:val="00813DFA"/>
    <w:rsid w:val="0082035F"/>
    <w:rsid w:val="00875AD5"/>
    <w:rsid w:val="008A5F96"/>
    <w:rsid w:val="008B274F"/>
    <w:rsid w:val="008E00FF"/>
    <w:rsid w:val="00900E23"/>
    <w:rsid w:val="00930EFF"/>
    <w:rsid w:val="00931594"/>
    <w:rsid w:val="00933129"/>
    <w:rsid w:val="00973B01"/>
    <w:rsid w:val="0099655A"/>
    <w:rsid w:val="009A0A2D"/>
    <w:rsid w:val="00A12959"/>
    <w:rsid w:val="00A20A7F"/>
    <w:rsid w:val="00A32444"/>
    <w:rsid w:val="00A3789D"/>
    <w:rsid w:val="00A74B73"/>
    <w:rsid w:val="00AA4F44"/>
    <w:rsid w:val="00AB4192"/>
    <w:rsid w:val="00AB4FE9"/>
    <w:rsid w:val="00AC7531"/>
    <w:rsid w:val="00AE25DE"/>
    <w:rsid w:val="00AE74FF"/>
    <w:rsid w:val="00B05343"/>
    <w:rsid w:val="00B40C19"/>
    <w:rsid w:val="00B53CE5"/>
    <w:rsid w:val="00B806B5"/>
    <w:rsid w:val="00B9236A"/>
    <w:rsid w:val="00BB1C13"/>
    <w:rsid w:val="00BC4D16"/>
    <w:rsid w:val="00BF1EFB"/>
    <w:rsid w:val="00C025D1"/>
    <w:rsid w:val="00C14466"/>
    <w:rsid w:val="00C24E05"/>
    <w:rsid w:val="00C34376"/>
    <w:rsid w:val="00C844DC"/>
    <w:rsid w:val="00C91A44"/>
    <w:rsid w:val="00CA6633"/>
    <w:rsid w:val="00CD6BAC"/>
    <w:rsid w:val="00D51E42"/>
    <w:rsid w:val="00D56867"/>
    <w:rsid w:val="00DE3497"/>
    <w:rsid w:val="00E10608"/>
    <w:rsid w:val="00E130F2"/>
    <w:rsid w:val="00E212AA"/>
    <w:rsid w:val="00E93A9F"/>
    <w:rsid w:val="00F075A4"/>
    <w:rsid w:val="00F27512"/>
    <w:rsid w:val="00F37E97"/>
    <w:rsid w:val="00F875F9"/>
    <w:rsid w:val="00FA4AF8"/>
    <w:rsid w:val="00FD27E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Pr>
      <w:sz w:val="24"/>
      <w:szCs w:val="24"/>
      <w:lang w:eastAsia="zh-CN"/>
    </w:rPr>
  </w:style>
  <w:style w:type="character" w:default="1" w:styleId="Predvolenpsmoodseku">
    <w:name w:val="Default Paragraph Font"/>
    <w:semiHidden/>
  </w:style>
  <w:style w:type="table" w:default="1" w:styleId="Normlnatabuka">
    <w:name w:val="Normal Table"/>
    <w:semiHidden/>
    <w:tblPr>
      <w:tblInd w:w="0" w:type="dxa"/>
      <w:tblCellMar>
        <w:top w:w="0" w:type="dxa"/>
        <w:left w:w="108" w:type="dxa"/>
        <w:bottom w:w="0" w:type="dxa"/>
        <w:right w:w="108" w:type="dxa"/>
      </w:tblCellMar>
    </w:tblPr>
  </w:style>
  <w:style w:type="numbering" w:default="1" w:styleId="Bezzoznamu">
    <w:name w:val="No List"/>
    <w:semiHidden/>
  </w:style>
  <w:style w:type="table" w:styleId="Mriekatabuky">
    <w:name w:val="Table Grid"/>
    <w:basedOn w:val="Normlnatabuka"/>
    <w:rsid w:val="009965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rsid w:val="004E5834"/>
    <w:rPr>
      <w:rFonts w:ascii="Tahoma" w:hAnsi="Tahoma" w:cs="Tahoma"/>
      <w:sz w:val="16"/>
      <w:szCs w:val="16"/>
    </w:rPr>
  </w:style>
  <w:style w:type="character" w:customStyle="1" w:styleId="TextbublinyChar">
    <w:name w:val="Text bubliny Char"/>
    <w:basedOn w:val="Predvolenpsmoodseku"/>
    <w:link w:val="Textbubliny"/>
    <w:rsid w:val="004E5834"/>
    <w:rPr>
      <w:rFonts w:ascii="Tahoma" w:hAnsi="Tahoma" w:cs="Tahoma"/>
      <w:sz w:val="16"/>
      <w:szCs w:val="16"/>
      <w:lang w:eastAsia="zh-CN"/>
    </w:rPr>
  </w:style>
  <w:style w:type="character" w:styleId="Textzstupnhosymbolu">
    <w:name w:val="Placeholder Text"/>
    <w:basedOn w:val="Predvolenpsmoodseku"/>
    <w:uiPriority w:val="99"/>
    <w:semiHidden/>
    <w:rsid w:val="004E5834"/>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Pr>
      <w:sz w:val="24"/>
      <w:szCs w:val="24"/>
      <w:lang w:eastAsia="zh-CN"/>
    </w:rPr>
  </w:style>
  <w:style w:type="character" w:default="1" w:styleId="Predvolenpsmoodseku">
    <w:name w:val="Default Paragraph Font"/>
    <w:semiHidden/>
  </w:style>
  <w:style w:type="table" w:default="1" w:styleId="Normlnatabuka">
    <w:name w:val="Normal Table"/>
    <w:semiHidden/>
    <w:tblPr>
      <w:tblInd w:w="0" w:type="dxa"/>
      <w:tblCellMar>
        <w:top w:w="0" w:type="dxa"/>
        <w:left w:w="108" w:type="dxa"/>
        <w:bottom w:w="0" w:type="dxa"/>
        <w:right w:w="108" w:type="dxa"/>
      </w:tblCellMar>
    </w:tblPr>
  </w:style>
  <w:style w:type="numbering" w:default="1" w:styleId="Bezzoznamu">
    <w:name w:val="No List"/>
    <w:semiHidden/>
  </w:style>
  <w:style w:type="table" w:styleId="Mriekatabuky">
    <w:name w:val="Table Grid"/>
    <w:basedOn w:val="Normlnatabuka"/>
    <w:rsid w:val="009965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rsid w:val="004E5834"/>
    <w:rPr>
      <w:rFonts w:ascii="Tahoma" w:hAnsi="Tahoma" w:cs="Tahoma"/>
      <w:sz w:val="16"/>
      <w:szCs w:val="16"/>
    </w:rPr>
  </w:style>
  <w:style w:type="character" w:customStyle="1" w:styleId="TextbublinyChar">
    <w:name w:val="Text bubliny Char"/>
    <w:basedOn w:val="Predvolenpsmoodseku"/>
    <w:link w:val="Textbubliny"/>
    <w:rsid w:val="004E5834"/>
    <w:rPr>
      <w:rFonts w:ascii="Tahoma" w:hAnsi="Tahoma" w:cs="Tahoma"/>
      <w:sz w:val="16"/>
      <w:szCs w:val="16"/>
      <w:lang w:eastAsia="zh-CN"/>
    </w:rPr>
  </w:style>
  <w:style w:type="character" w:styleId="Textzstupnhosymbolu">
    <w:name w:val="Placeholder Text"/>
    <w:basedOn w:val="Predvolenpsmoodseku"/>
    <w:uiPriority w:val="99"/>
    <w:semiHidden/>
    <w:rsid w:val="004E583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6676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s>
</file>

<file path=word/charts/_rels/chart1.xml.rels><?xml version="1.0" encoding="UTF-8" standalone="yes"?>
<Relationships xmlns="http://schemas.openxmlformats.org/package/2006/relationships"><Relationship Id="rId2" Type="http://schemas.openxmlformats.org/officeDocument/2006/relationships/oleObject" Target="file:///C:\Milan\Pracovne\ADMIN\Osobne\Stolny_tenis\Rebricky\2015\Koeficient_poklesu.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scatterChart>
        <c:scatterStyle val="lineMarker"/>
        <c:varyColors val="0"/>
        <c:ser>
          <c:idx val="0"/>
          <c:order val="0"/>
          <c:tx>
            <c:strRef>
              <c:f>Hárok1!$B$1</c:f>
              <c:strCache>
                <c:ptCount val="1"/>
                <c:pt idx="0">
                  <c:v>Koeficient poklesu</c:v>
                </c:pt>
              </c:strCache>
            </c:strRef>
          </c:tx>
          <c:xVal>
            <c:numRef>
              <c:f>Hárok1!$A$2:$A$21</c:f>
              <c:numCache>
                <c:formatCode>General</c:formatCode>
                <c:ptCount val="2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numCache>
            </c:numRef>
          </c:xVal>
          <c:yVal>
            <c:numRef>
              <c:f>Hárok1!$B$2:$B$21</c:f>
              <c:numCache>
                <c:formatCode>General</c:formatCode>
                <c:ptCount val="20"/>
                <c:pt idx="0">
                  <c:v>0.2</c:v>
                </c:pt>
                <c:pt idx="1">
                  <c:v>0.30000000000000004</c:v>
                </c:pt>
                <c:pt idx="2">
                  <c:v>0.3666666666666667</c:v>
                </c:pt>
                <c:pt idx="3">
                  <c:v>0.41666666666666669</c:v>
                </c:pt>
                <c:pt idx="4">
                  <c:v>0.45666666666666667</c:v>
                </c:pt>
                <c:pt idx="5">
                  <c:v>0.49</c:v>
                </c:pt>
                <c:pt idx="6">
                  <c:v>0.51857142857142857</c:v>
                </c:pt>
                <c:pt idx="7">
                  <c:v>0.54357142857142859</c:v>
                </c:pt>
                <c:pt idx="8">
                  <c:v>0.56579365079365085</c:v>
                </c:pt>
                <c:pt idx="9">
                  <c:v>0.58579365079365087</c:v>
                </c:pt>
                <c:pt idx="10">
                  <c:v>0.60397546897546905</c:v>
                </c:pt>
                <c:pt idx="11">
                  <c:v>0.62064213564213577</c:v>
                </c:pt>
                <c:pt idx="12">
                  <c:v>0.63602675102675121</c:v>
                </c:pt>
                <c:pt idx="13">
                  <c:v>0.65031246531246545</c:v>
                </c:pt>
                <c:pt idx="14">
                  <c:v>0.66364579864579876</c:v>
                </c:pt>
                <c:pt idx="15">
                  <c:v>0.67614579864579871</c:v>
                </c:pt>
                <c:pt idx="16">
                  <c:v>0.68791050452815161</c:v>
                </c:pt>
                <c:pt idx="17">
                  <c:v>0.69902161563926268</c:v>
                </c:pt>
                <c:pt idx="18">
                  <c:v>0.7095479314287364</c:v>
                </c:pt>
                <c:pt idx="19">
                  <c:v>0.71954793142873641</c:v>
                </c:pt>
              </c:numCache>
            </c:numRef>
          </c:yVal>
          <c:smooth val="0"/>
        </c:ser>
        <c:dLbls>
          <c:showLegendKey val="0"/>
          <c:showVal val="0"/>
          <c:showCatName val="0"/>
          <c:showSerName val="0"/>
          <c:showPercent val="0"/>
          <c:showBubbleSize val="0"/>
        </c:dLbls>
        <c:axId val="191179008"/>
        <c:axId val="191181184"/>
      </c:scatterChart>
      <c:valAx>
        <c:axId val="191179008"/>
        <c:scaling>
          <c:orientation val="minMax"/>
          <c:max val="20"/>
        </c:scaling>
        <c:delete val="0"/>
        <c:axPos val="b"/>
        <c:title>
          <c:tx>
            <c:rich>
              <a:bodyPr/>
              <a:lstStyle/>
              <a:p>
                <a:pPr>
                  <a:defRPr/>
                </a:pPr>
                <a:r>
                  <a:rPr lang="sk-SK"/>
                  <a:t>Počet</a:t>
                </a:r>
                <a:r>
                  <a:rPr lang="sk-SK" baseline="0"/>
                  <a:t> neaktívnych rokov</a:t>
                </a:r>
                <a:endParaRPr lang="sk-SK"/>
              </a:p>
            </c:rich>
          </c:tx>
          <c:layout>
            <c:manualLayout>
              <c:xMode val="edge"/>
              <c:yMode val="edge"/>
              <c:x val="0.47869553805774279"/>
              <c:y val="0.87868037328667248"/>
            </c:manualLayout>
          </c:layout>
          <c:overlay val="0"/>
        </c:title>
        <c:numFmt formatCode="General" sourceLinked="1"/>
        <c:majorTickMark val="out"/>
        <c:minorTickMark val="none"/>
        <c:tickLblPos val="nextTo"/>
        <c:crossAx val="191181184"/>
        <c:crosses val="autoZero"/>
        <c:crossBetween val="midCat"/>
        <c:majorUnit val="2"/>
      </c:valAx>
      <c:valAx>
        <c:axId val="191181184"/>
        <c:scaling>
          <c:orientation val="minMax"/>
        </c:scaling>
        <c:delete val="0"/>
        <c:axPos val="l"/>
        <c:majorGridlines/>
        <c:title>
          <c:tx>
            <c:rich>
              <a:bodyPr rot="-5400000" vert="horz"/>
              <a:lstStyle/>
              <a:p>
                <a:pPr>
                  <a:defRPr/>
                </a:pPr>
                <a:r>
                  <a:rPr lang="sk-SK"/>
                  <a:t>Koeficient</a:t>
                </a:r>
                <a:r>
                  <a:rPr lang="sk-SK" baseline="0"/>
                  <a:t> poklesu</a:t>
                </a:r>
                <a:endParaRPr lang="sk-SK"/>
              </a:p>
            </c:rich>
          </c:tx>
          <c:overlay val="0"/>
        </c:title>
        <c:numFmt formatCode="General" sourceLinked="1"/>
        <c:majorTickMark val="out"/>
        <c:minorTickMark val="none"/>
        <c:tickLblPos val="nextTo"/>
        <c:crossAx val="191179008"/>
        <c:crosses val="autoZero"/>
        <c:crossBetween val="midCat"/>
      </c:valAx>
    </c:plotArea>
    <c:plotVisOnly val="1"/>
    <c:dispBlanksAs val="gap"/>
    <c:showDLblsOverMax val="0"/>
  </c:chart>
  <c:spPr>
    <a:ln>
      <a:noFill/>
    </a:ln>
  </c:spPr>
  <c:externalData r:id="rId2">
    <c:autoUpdate val="0"/>
  </c:externalData>
</c:chartSpace>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1245</TotalTime>
  <Pages>3</Pages>
  <Words>470</Words>
  <Characters>2920</Characters>
  <Application>Microsoft Office Word</Application>
  <DocSecurity>0</DocSecurity>
  <Lines>76</Lines>
  <Paragraphs>28</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National Cancer Institute</Company>
  <LinksUpToDate>false</LinksUpToDate>
  <CharactersWithSpaces>3362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sykoraj</dc:creator>
  <cp:keywords/>
  <cp:lastModifiedBy>Milan</cp:lastModifiedBy>
  <cp:revision>15</cp:revision>
  <dcterms:created xsi:type="dcterms:W3CDTF">2015-06-13T22:27:00Z</dcterms:created>
  <dcterms:modified xsi:type="dcterms:W3CDTF">2015-06-14T19:12:00Z</dcterms:modified>
</cp:coreProperties>
</file>